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B40D4">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DE0A7D">
        <w:rPr>
          <w:rFonts w:cs="Arial"/>
          <w:b/>
          <w:sz w:val="28"/>
        </w:rPr>
        <w:t>Ju</w:t>
      </w:r>
      <w:r w:rsidR="000D08EA">
        <w:rPr>
          <w:rFonts w:cs="Arial"/>
          <w:b/>
          <w:sz w:val="28"/>
        </w:rPr>
        <w:t>ly</w:t>
      </w:r>
      <w:r w:rsidR="001A3381">
        <w:rPr>
          <w:rFonts w:cs="Arial"/>
          <w:b/>
          <w:sz w:val="28"/>
        </w:rPr>
        <w:t xml:space="preserve"> 2017</w:t>
      </w:r>
    </w:p>
    <w:p w:rsidR="00EB40D4" w:rsidRDefault="00EB40D4" w:rsidP="00ED7F43">
      <w:pPr>
        <w:rPr>
          <w:rFonts w:cs="Arial"/>
          <w:b/>
        </w:rPr>
      </w:pPr>
    </w:p>
    <w:p w:rsidR="00EB40D4" w:rsidRDefault="00EB40D4" w:rsidP="00ED7F43">
      <w:pPr>
        <w:rPr>
          <w:rFonts w:cs="Arial"/>
          <w:b/>
        </w:rPr>
      </w:pPr>
    </w:p>
    <w:p w:rsidR="003608DF" w:rsidRPr="00FA7C29" w:rsidRDefault="0077287C" w:rsidP="00D07958">
      <w:pPr>
        <w:rPr>
          <w:rFonts w:cs="Arial"/>
          <w:sz w:val="22"/>
        </w:rPr>
      </w:pPr>
      <w:r>
        <w:rPr>
          <w:rFonts w:cs="Arial"/>
          <w:sz w:val="22"/>
        </w:rPr>
        <w:t>Total recommendations</w:t>
      </w:r>
      <w:r w:rsidR="001A3381">
        <w:rPr>
          <w:rFonts w:cs="Arial"/>
          <w:sz w:val="22"/>
        </w:rPr>
        <w:t xml:space="preserve"> (year to date)</w:t>
      </w:r>
      <w:r>
        <w:rPr>
          <w:rFonts w:cs="Arial"/>
          <w:sz w:val="22"/>
        </w:rPr>
        <w:t>:</w:t>
      </w:r>
      <w:r>
        <w:rPr>
          <w:rFonts w:cs="Arial"/>
          <w:sz w:val="22"/>
        </w:rPr>
        <w:tab/>
      </w:r>
      <w:r w:rsidR="00EB40D4">
        <w:rPr>
          <w:rFonts w:cs="Arial"/>
          <w:sz w:val="22"/>
        </w:rPr>
        <w:t>1</w:t>
      </w:r>
    </w:p>
    <w:p w:rsidR="003608DF" w:rsidRPr="00FA7C29" w:rsidRDefault="00EB40D4"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0</w:t>
      </w:r>
      <w:r>
        <w:rPr>
          <w:rFonts w:cs="Arial"/>
          <w:sz w:val="22"/>
        </w:rPr>
        <w:tab/>
        <w:t>0</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r>
      <w:r w:rsidR="001A3381">
        <w:rPr>
          <w:rFonts w:cs="Arial"/>
          <w:sz w:val="22"/>
        </w:rPr>
        <w:tab/>
      </w:r>
      <w:r w:rsidR="001A3381">
        <w:rPr>
          <w:rFonts w:cs="Arial"/>
          <w:sz w:val="22"/>
        </w:rPr>
        <w:tab/>
      </w:r>
      <w:r w:rsidR="000D08EA">
        <w:rPr>
          <w:rFonts w:cs="Arial"/>
          <w:sz w:val="22"/>
        </w:rPr>
        <w:t>1</w:t>
      </w:r>
      <w:r w:rsidR="001C08EF">
        <w:rPr>
          <w:rFonts w:cs="Arial"/>
          <w:sz w:val="22"/>
        </w:rPr>
        <w:tab/>
      </w:r>
      <w:r w:rsidR="00EB40D4">
        <w:rPr>
          <w:rFonts w:cs="Arial"/>
          <w:sz w:val="22"/>
        </w:rPr>
        <w:t>100</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r>
      <w:r w:rsidR="001A3381">
        <w:rPr>
          <w:rFonts w:cs="Arial"/>
          <w:sz w:val="22"/>
        </w:rPr>
        <w:tab/>
      </w:r>
      <w:r w:rsidR="001A3381">
        <w:rPr>
          <w:rFonts w:cs="Arial"/>
          <w:sz w:val="22"/>
        </w:rPr>
        <w:tab/>
      </w:r>
      <w:r w:rsidR="00EB40D4">
        <w:rPr>
          <w:rFonts w:cs="Arial"/>
          <w:sz w:val="22"/>
        </w:rPr>
        <w:t>0</w:t>
      </w:r>
      <w:r w:rsidR="003608DF" w:rsidRPr="00FA7C29">
        <w:rPr>
          <w:rFonts w:cs="Arial"/>
          <w:sz w:val="22"/>
        </w:rPr>
        <w:tab/>
      </w:r>
      <w:r w:rsidR="00EB40D4">
        <w:rPr>
          <w:rFonts w:cs="Arial"/>
          <w:sz w:val="22"/>
        </w:rPr>
        <w:t>0</w:t>
      </w:r>
      <w:r w:rsidR="001C08EF">
        <w:rPr>
          <w:rFonts w:cs="Arial"/>
          <w:sz w:val="22"/>
        </w:rPr>
        <w:t>%</w:t>
      </w:r>
    </w:p>
    <w:p w:rsidR="001A3381" w:rsidRDefault="001A3381" w:rsidP="00D07958">
      <w:pPr>
        <w:rPr>
          <w:rFonts w:cs="Arial"/>
          <w:sz w:val="22"/>
        </w:rPr>
      </w:pPr>
    </w:p>
    <w:p w:rsidR="001A3381" w:rsidRDefault="001A3381" w:rsidP="00D07958">
      <w:pPr>
        <w:rPr>
          <w:rFonts w:cs="Arial"/>
          <w:sz w:val="22"/>
        </w:rPr>
      </w:pPr>
    </w:p>
    <w:p w:rsidR="000D08EA" w:rsidRDefault="000D08EA" w:rsidP="00D07958">
      <w:pPr>
        <w:rPr>
          <w:rFonts w:cs="Arial"/>
          <w:b/>
          <w:sz w:val="22"/>
        </w:rPr>
      </w:pPr>
      <w:r>
        <w:rPr>
          <w:rFonts w:cs="Arial"/>
          <w:b/>
          <w:sz w:val="22"/>
        </w:rPr>
        <w:t xml:space="preserve">15 JUNE 2017 </w:t>
      </w:r>
      <w:r w:rsidRPr="000D08EA">
        <w:rPr>
          <w:rFonts w:cs="Arial"/>
          <w:b/>
          <w:sz w:val="22"/>
        </w:rPr>
        <w:t>CITY EXECUTIVE BOARD</w:t>
      </w:r>
    </w:p>
    <w:p w:rsidR="000D08EA" w:rsidRPr="000D08EA" w:rsidRDefault="000D08EA" w:rsidP="00D07958">
      <w:pPr>
        <w:rPr>
          <w:rFonts w:cs="Arial"/>
          <w:b/>
          <w:sz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8EA" w:rsidRPr="000D08EA" w:rsidTr="000D08EA">
        <w:tc>
          <w:tcPr>
            <w:tcW w:w="6629" w:type="dxa"/>
            <w:shd w:val="clear" w:color="auto" w:fill="D9D9D9"/>
            <w:vAlign w:val="center"/>
          </w:tcPr>
          <w:p w:rsidR="000D08EA" w:rsidRPr="000D08EA" w:rsidRDefault="000D08EA" w:rsidP="000D08EA">
            <w:pPr>
              <w:rPr>
                <w:rFonts w:cs="Arial"/>
                <w:b/>
                <w:i/>
                <w:sz w:val="22"/>
              </w:rPr>
            </w:pPr>
            <w:r w:rsidRPr="000D08EA">
              <w:rPr>
                <w:rFonts w:cs="Arial"/>
                <w:b/>
                <w:i/>
                <w:sz w:val="22"/>
              </w:rPr>
              <w:t>Recommendation</w:t>
            </w:r>
          </w:p>
        </w:tc>
        <w:tc>
          <w:tcPr>
            <w:tcW w:w="1134" w:type="dxa"/>
            <w:shd w:val="clear" w:color="auto" w:fill="D9D9D9"/>
            <w:vAlign w:val="center"/>
          </w:tcPr>
          <w:p w:rsidR="000D08EA" w:rsidRPr="000D08EA" w:rsidRDefault="000D08EA" w:rsidP="000D08EA">
            <w:pPr>
              <w:rPr>
                <w:rFonts w:cs="Arial"/>
                <w:b/>
                <w:i/>
                <w:sz w:val="22"/>
              </w:rPr>
            </w:pPr>
            <w:r w:rsidRPr="000D08EA">
              <w:rPr>
                <w:rFonts w:cs="Arial"/>
                <w:b/>
                <w:i/>
                <w:sz w:val="22"/>
              </w:rPr>
              <w:t xml:space="preserve">Agree? </w:t>
            </w:r>
          </w:p>
        </w:tc>
        <w:tc>
          <w:tcPr>
            <w:tcW w:w="6520" w:type="dxa"/>
            <w:shd w:val="clear" w:color="auto" w:fill="D9D9D9"/>
            <w:vAlign w:val="center"/>
          </w:tcPr>
          <w:p w:rsidR="000D08EA" w:rsidRPr="000D08EA" w:rsidRDefault="000D08EA" w:rsidP="000D08EA">
            <w:pPr>
              <w:rPr>
                <w:rFonts w:cs="Arial"/>
                <w:b/>
                <w:i/>
                <w:sz w:val="22"/>
              </w:rPr>
            </w:pPr>
            <w:r w:rsidRPr="000D08EA">
              <w:rPr>
                <w:rFonts w:cs="Arial"/>
                <w:b/>
                <w:i/>
                <w:sz w:val="22"/>
              </w:rPr>
              <w:t>Comment</w:t>
            </w:r>
          </w:p>
        </w:tc>
      </w:tr>
      <w:tr w:rsidR="000D08EA" w:rsidRPr="000D08EA" w:rsidTr="000D08EA">
        <w:trPr>
          <w:trHeight w:val="305"/>
        </w:trPr>
        <w:tc>
          <w:tcPr>
            <w:tcW w:w="6629" w:type="dxa"/>
            <w:shd w:val="clear" w:color="auto" w:fill="auto"/>
          </w:tcPr>
          <w:p w:rsidR="000D08EA" w:rsidRPr="000D08EA" w:rsidRDefault="000D08EA" w:rsidP="000D08EA">
            <w:pPr>
              <w:rPr>
                <w:rFonts w:cs="Arial"/>
                <w:sz w:val="22"/>
              </w:rPr>
            </w:pPr>
            <w:r w:rsidRPr="000D08EA">
              <w:rPr>
                <w:rFonts w:cs="Arial"/>
                <w:sz w:val="22"/>
              </w:rPr>
              <w:t>That consideration is given to the possibility and desirability of using planning policy to protect and control shopping frontages in smaller shopping areas that are not classified as local centres.</w:t>
            </w:r>
          </w:p>
        </w:tc>
        <w:tc>
          <w:tcPr>
            <w:tcW w:w="1134" w:type="dxa"/>
            <w:shd w:val="clear" w:color="auto" w:fill="auto"/>
          </w:tcPr>
          <w:p w:rsidR="000D08EA" w:rsidRPr="000D08EA" w:rsidRDefault="000D08EA" w:rsidP="000D08EA">
            <w:pPr>
              <w:rPr>
                <w:rFonts w:cs="Arial"/>
                <w:sz w:val="22"/>
              </w:rPr>
            </w:pPr>
            <w:r w:rsidRPr="000D08EA">
              <w:rPr>
                <w:rFonts w:cs="Arial"/>
                <w:sz w:val="22"/>
              </w:rPr>
              <w:t>In part</w:t>
            </w:r>
          </w:p>
        </w:tc>
        <w:tc>
          <w:tcPr>
            <w:tcW w:w="6520" w:type="dxa"/>
            <w:shd w:val="clear" w:color="auto" w:fill="auto"/>
          </w:tcPr>
          <w:p w:rsidR="000D08EA" w:rsidRPr="000D08EA" w:rsidRDefault="000D08EA" w:rsidP="000D08EA">
            <w:pPr>
              <w:rPr>
                <w:rFonts w:cs="Arial"/>
                <w:sz w:val="22"/>
              </w:rPr>
            </w:pPr>
            <w:r w:rsidRPr="000D08EA">
              <w:rPr>
                <w:rFonts w:cs="Arial"/>
                <w:sz w:val="22"/>
              </w:rPr>
              <w:t xml:space="preserve">Local centres are considered in the Local Plan Preferred Options document as part of the hierarchy of centres for town centres uses. Town centres are where town centre uses should be directed. The definition of Town centres in the NPPF explicitly excludes neighbourhood centres. </w:t>
            </w:r>
          </w:p>
          <w:p w:rsidR="000D08EA" w:rsidRPr="000D08EA" w:rsidRDefault="000D08EA" w:rsidP="000D08EA">
            <w:pPr>
              <w:rPr>
                <w:rFonts w:cs="Arial"/>
                <w:sz w:val="22"/>
              </w:rPr>
            </w:pPr>
          </w:p>
          <w:p w:rsidR="000D08EA" w:rsidRPr="000D08EA" w:rsidRDefault="000D08EA" w:rsidP="000D08EA">
            <w:pPr>
              <w:rPr>
                <w:rFonts w:cs="Arial"/>
                <w:sz w:val="22"/>
              </w:rPr>
            </w:pPr>
            <w:r w:rsidRPr="000D08EA">
              <w:rPr>
                <w:rFonts w:cs="Arial"/>
                <w:sz w:val="22"/>
              </w:rPr>
              <w:t>An option to include a lower tier of centres (below Local Centres) has not been put forward in the Plan, as this is not therefore considered to be compliant with the NPPF which sets out that small parades of shops are not classed as ‘centres’. The proposed Local Centres are listed in the Options document, and if consultees consider further areas should to be identified as centres, they can be put forward during the consultation, and if it’s considered that they do meet the NPPF definition then they can be included in the draft plan.</w:t>
            </w:r>
          </w:p>
        </w:tc>
      </w:tr>
    </w:tbl>
    <w:p w:rsidR="00EB40D4" w:rsidRDefault="00EB40D4" w:rsidP="00D07958">
      <w:pPr>
        <w:rPr>
          <w:rFonts w:cs="Arial"/>
          <w:b/>
          <w:sz w:val="22"/>
        </w:rPr>
      </w:pPr>
      <w:bookmarkStart w:id="0" w:name="_GoBack"/>
      <w:bookmarkEnd w:id="0"/>
    </w:p>
    <w:p w:rsidR="00EB40D4" w:rsidRDefault="00EB40D4" w:rsidP="00D07958">
      <w:pPr>
        <w:rPr>
          <w:rFonts w:cs="Arial"/>
          <w:b/>
          <w:sz w:val="22"/>
        </w:rPr>
      </w:pPr>
    </w:p>
    <w:p w:rsidR="00EB40D4" w:rsidRDefault="00EB40D4" w:rsidP="00EB40D4">
      <w:pPr>
        <w:jc w:val="center"/>
        <w:rPr>
          <w:rFonts w:cs="Arial"/>
          <w:b/>
          <w:sz w:val="22"/>
        </w:rPr>
      </w:pPr>
      <w:r w:rsidRPr="00770820">
        <w:rPr>
          <w:rFonts w:cs="Arial"/>
          <w:b/>
          <w:sz w:val="28"/>
        </w:rPr>
        <w:t>S</w:t>
      </w:r>
      <w:r>
        <w:rPr>
          <w:rFonts w:cs="Arial"/>
          <w:b/>
          <w:sz w:val="28"/>
        </w:rPr>
        <w:t>crutiny recommendation tracker</w:t>
      </w:r>
      <w:r w:rsidRPr="00770820">
        <w:rPr>
          <w:rFonts w:cs="Arial"/>
          <w:b/>
          <w:sz w:val="28"/>
        </w:rPr>
        <w:t xml:space="preserve"> </w:t>
      </w:r>
      <w:r>
        <w:rPr>
          <w:rFonts w:cs="Arial"/>
          <w:b/>
          <w:sz w:val="28"/>
        </w:rPr>
        <w:t>201</w:t>
      </w:r>
      <w:r>
        <w:rPr>
          <w:rFonts w:cs="Arial"/>
          <w:b/>
          <w:sz w:val="28"/>
        </w:rPr>
        <w:t>6/17</w:t>
      </w:r>
    </w:p>
    <w:p w:rsidR="000D08EA" w:rsidRDefault="000D08EA" w:rsidP="00D07958">
      <w:pPr>
        <w:rPr>
          <w:rFonts w:cs="Arial"/>
          <w:sz w:val="22"/>
        </w:rPr>
      </w:pPr>
    </w:p>
    <w:p w:rsidR="00EB40D4" w:rsidRDefault="00EB40D4" w:rsidP="00D07958">
      <w:pPr>
        <w:rPr>
          <w:rFonts w:cs="Arial"/>
          <w:sz w:val="22"/>
        </w:rPr>
      </w:pPr>
    </w:p>
    <w:p w:rsidR="00EB40D4" w:rsidRPr="00FA7C29" w:rsidRDefault="00EB40D4" w:rsidP="00EB40D4">
      <w:pPr>
        <w:rPr>
          <w:rFonts w:cs="Arial"/>
          <w:sz w:val="22"/>
        </w:rPr>
      </w:pPr>
      <w:r>
        <w:rPr>
          <w:rFonts w:cs="Arial"/>
          <w:sz w:val="22"/>
        </w:rPr>
        <w:t>Total recommendations (year to date):</w:t>
      </w:r>
      <w:r>
        <w:rPr>
          <w:rFonts w:cs="Arial"/>
          <w:sz w:val="22"/>
        </w:rPr>
        <w:tab/>
        <w:t>14</w:t>
      </w:r>
      <w:r>
        <w:rPr>
          <w:rFonts w:cs="Arial"/>
          <w:sz w:val="22"/>
        </w:rPr>
        <w:t>6</w:t>
      </w:r>
    </w:p>
    <w:p w:rsidR="00EB40D4" w:rsidRPr="00FA7C29" w:rsidRDefault="00EB40D4" w:rsidP="00EB40D4">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123</w:t>
      </w:r>
      <w:r>
        <w:rPr>
          <w:rFonts w:cs="Arial"/>
          <w:sz w:val="22"/>
        </w:rPr>
        <w:tab/>
        <w:t>84%</w:t>
      </w:r>
    </w:p>
    <w:p w:rsidR="00EB40D4" w:rsidRPr="00FA7C29" w:rsidRDefault="00EB40D4" w:rsidP="00EB40D4">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r>
      <w:r>
        <w:rPr>
          <w:rFonts w:cs="Arial"/>
          <w:sz w:val="22"/>
        </w:rPr>
        <w:t>10</w:t>
      </w:r>
      <w:r>
        <w:rPr>
          <w:rFonts w:cs="Arial"/>
          <w:sz w:val="22"/>
        </w:rPr>
        <w:tab/>
        <w:t>7%</w:t>
      </w:r>
    </w:p>
    <w:p w:rsidR="00EB40D4" w:rsidRPr="00FA7C29" w:rsidRDefault="00EB40D4" w:rsidP="00EB40D4">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13</w:t>
      </w:r>
      <w:r w:rsidRPr="00FA7C29">
        <w:rPr>
          <w:rFonts w:cs="Arial"/>
          <w:sz w:val="22"/>
        </w:rPr>
        <w:tab/>
      </w:r>
      <w:r>
        <w:rPr>
          <w:rFonts w:cs="Arial"/>
          <w:sz w:val="22"/>
        </w:rPr>
        <w:t>9%</w:t>
      </w:r>
    </w:p>
    <w:p w:rsidR="00EB40D4" w:rsidRDefault="00EB40D4" w:rsidP="00D07958">
      <w:pPr>
        <w:rPr>
          <w:rFonts w:cs="Arial"/>
          <w:sz w:val="22"/>
        </w:rPr>
      </w:pPr>
    </w:p>
    <w:p w:rsidR="00EB40D4" w:rsidRDefault="00EB40D4" w:rsidP="00D07958">
      <w:pPr>
        <w:rPr>
          <w:rFonts w:cs="Arial"/>
          <w:sz w:val="22"/>
        </w:rPr>
      </w:pPr>
    </w:p>
    <w:p w:rsidR="0087223B" w:rsidRDefault="0087223B" w:rsidP="00D07958">
      <w:pPr>
        <w:rPr>
          <w:rFonts w:cs="Arial"/>
          <w:b/>
          <w:sz w:val="22"/>
        </w:rPr>
      </w:pPr>
      <w:r>
        <w:rPr>
          <w:rFonts w:cs="Arial"/>
          <w:b/>
          <w:sz w:val="22"/>
        </w:rPr>
        <w:t>11 MAY 2017 CITY EXECUTIVE BOARD</w:t>
      </w:r>
    </w:p>
    <w:p w:rsidR="0087223B" w:rsidRDefault="0087223B" w:rsidP="00D07958">
      <w:pPr>
        <w:rPr>
          <w:rFonts w:cs="Arial"/>
          <w:b/>
          <w:sz w:val="22"/>
        </w:rPr>
      </w:pPr>
    </w:p>
    <w:p w:rsidR="006766A4" w:rsidRDefault="006766A4" w:rsidP="00D07958">
      <w:pPr>
        <w:rPr>
          <w:rFonts w:cs="Arial"/>
          <w:b/>
          <w:sz w:val="22"/>
        </w:rPr>
      </w:pPr>
      <w:r>
        <w:rPr>
          <w:rFonts w:cs="Arial"/>
          <w:b/>
          <w:sz w:val="22"/>
        </w:rPr>
        <w:t>South Oxford Science Village Planning Application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766A4" w:rsidRPr="006766A4" w:rsidTr="006766A4">
        <w:tc>
          <w:tcPr>
            <w:tcW w:w="6629" w:type="dxa"/>
            <w:shd w:val="clear" w:color="auto" w:fill="D9D9D9"/>
            <w:vAlign w:val="center"/>
          </w:tcPr>
          <w:p w:rsidR="006766A4" w:rsidRPr="006766A4" w:rsidRDefault="006766A4" w:rsidP="006766A4">
            <w:pPr>
              <w:rPr>
                <w:rFonts w:cs="Arial"/>
                <w:b/>
                <w:i/>
                <w:sz w:val="22"/>
              </w:rPr>
            </w:pPr>
            <w:r w:rsidRPr="006766A4">
              <w:rPr>
                <w:rFonts w:cs="Arial"/>
                <w:b/>
                <w:i/>
                <w:sz w:val="22"/>
              </w:rPr>
              <w:t>Recommendation</w:t>
            </w:r>
          </w:p>
        </w:tc>
        <w:tc>
          <w:tcPr>
            <w:tcW w:w="1134" w:type="dxa"/>
            <w:shd w:val="clear" w:color="auto" w:fill="D9D9D9"/>
            <w:vAlign w:val="center"/>
          </w:tcPr>
          <w:p w:rsidR="006766A4" w:rsidRPr="006766A4" w:rsidRDefault="006766A4" w:rsidP="006766A4">
            <w:pPr>
              <w:rPr>
                <w:rFonts w:cs="Arial"/>
                <w:b/>
                <w:i/>
                <w:sz w:val="22"/>
              </w:rPr>
            </w:pPr>
            <w:r w:rsidRPr="006766A4">
              <w:rPr>
                <w:rFonts w:cs="Arial"/>
                <w:b/>
                <w:i/>
                <w:sz w:val="22"/>
              </w:rPr>
              <w:t xml:space="preserve">Agree? </w:t>
            </w:r>
          </w:p>
        </w:tc>
        <w:tc>
          <w:tcPr>
            <w:tcW w:w="6520" w:type="dxa"/>
            <w:shd w:val="clear" w:color="auto" w:fill="D9D9D9"/>
            <w:vAlign w:val="center"/>
          </w:tcPr>
          <w:p w:rsidR="006766A4" w:rsidRPr="006766A4" w:rsidRDefault="006766A4" w:rsidP="006766A4">
            <w:pPr>
              <w:rPr>
                <w:rFonts w:cs="Arial"/>
                <w:b/>
                <w:i/>
                <w:sz w:val="22"/>
              </w:rPr>
            </w:pPr>
            <w:r w:rsidRPr="006766A4">
              <w:rPr>
                <w:rFonts w:cs="Arial"/>
                <w:b/>
                <w:i/>
                <w:sz w:val="22"/>
              </w:rPr>
              <w:t>Comment</w:t>
            </w:r>
          </w:p>
        </w:tc>
      </w:tr>
      <w:tr w:rsidR="006766A4" w:rsidRPr="006766A4" w:rsidTr="006766A4">
        <w:trPr>
          <w:trHeight w:val="305"/>
        </w:trPr>
        <w:tc>
          <w:tcPr>
            <w:tcW w:w="6629" w:type="dxa"/>
            <w:shd w:val="clear" w:color="auto" w:fill="auto"/>
          </w:tcPr>
          <w:p w:rsidR="006766A4" w:rsidRPr="006766A4" w:rsidRDefault="006766A4" w:rsidP="006766A4">
            <w:pPr>
              <w:rPr>
                <w:rFonts w:cs="Arial"/>
                <w:sz w:val="22"/>
              </w:rPr>
            </w:pPr>
            <w:r w:rsidRPr="006766A4">
              <w:rPr>
                <w:rFonts w:cs="Arial"/>
                <w:sz w:val="22"/>
              </w:rPr>
              <w:t>That the City Council, in partnership with Thames Water and Magdalen College, seeks to submit a planning application for South Oxford Science Village as soon as possible.</w:t>
            </w:r>
          </w:p>
          <w:p w:rsidR="006766A4" w:rsidRPr="006766A4" w:rsidRDefault="006766A4" w:rsidP="006766A4">
            <w:pPr>
              <w:rPr>
                <w:rFonts w:cs="Arial"/>
                <w:sz w:val="22"/>
              </w:rPr>
            </w:pPr>
          </w:p>
        </w:tc>
        <w:tc>
          <w:tcPr>
            <w:tcW w:w="1134" w:type="dxa"/>
            <w:shd w:val="clear" w:color="auto" w:fill="auto"/>
          </w:tcPr>
          <w:p w:rsidR="006766A4" w:rsidRPr="006766A4" w:rsidRDefault="006766A4" w:rsidP="006766A4">
            <w:pPr>
              <w:rPr>
                <w:rFonts w:cs="Arial"/>
                <w:sz w:val="22"/>
              </w:rPr>
            </w:pPr>
            <w:r w:rsidRPr="006766A4">
              <w:rPr>
                <w:rFonts w:cs="Arial"/>
                <w:sz w:val="22"/>
              </w:rPr>
              <w:t xml:space="preserve">Y </w:t>
            </w:r>
          </w:p>
        </w:tc>
        <w:tc>
          <w:tcPr>
            <w:tcW w:w="6520" w:type="dxa"/>
            <w:shd w:val="clear" w:color="auto" w:fill="auto"/>
          </w:tcPr>
          <w:p w:rsidR="006766A4" w:rsidRPr="006766A4" w:rsidRDefault="006766A4" w:rsidP="006766A4">
            <w:pPr>
              <w:rPr>
                <w:rFonts w:cs="Arial"/>
                <w:sz w:val="22"/>
              </w:rPr>
            </w:pPr>
          </w:p>
        </w:tc>
      </w:tr>
    </w:tbl>
    <w:p w:rsidR="0087223B" w:rsidRDefault="0087223B" w:rsidP="00D07958">
      <w:pPr>
        <w:rPr>
          <w:rFonts w:cs="Arial"/>
          <w:b/>
          <w:sz w:val="22"/>
        </w:rPr>
      </w:pPr>
    </w:p>
    <w:p w:rsidR="0087223B" w:rsidRDefault="0087223B" w:rsidP="00D07958">
      <w:pPr>
        <w:rPr>
          <w:rFonts w:cs="Arial"/>
          <w:b/>
          <w:sz w:val="22"/>
        </w:rPr>
      </w:pPr>
      <w:r>
        <w:rPr>
          <w:rFonts w:cs="Arial"/>
          <w:b/>
          <w:sz w:val="22"/>
        </w:rPr>
        <w:t>Fusion Lifestyle’s 2017/18 Annual Service Plan</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17"/>
      </w:tblGrid>
      <w:tr w:rsidR="0087223B" w:rsidRPr="0087223B" w:rsidTr="006766A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23B" w:rsidRPr="0087223B" w:rsidRDefault="0087223B" w:rsidP="0087223B">
            <w:pPr>
              <w:rPr>
                <w:rFonts w:cs="Arial"/>
                <w:b/>
                <w:i/>
                <w:sz w:val="22"/>
              </w:rPr>
            </w:pPr>
            <w:r w:rsidRPr="0087223B">
              <w:rPr>
                <w:rFonts w:cs="Arial"/>
                <w:b/>
                <w:i/>
                <w:sz w:val="22"/>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23B" w:rsidRPr="0087223B" w:rsidRDefault="006766A4" w:rsidP="0087223B">
            <w:pPr>
              <w:rPr>
                <w:rFonts w:cs="Arial"/>
                <w:b/>
                <w:i/>
                <w:sz w:val="22"/>
              </w:rPr>
            </w:pPr>
            <w:r>
              <w:rPr>
                <w:rFonts w:cs="Arial"/>
                <w:b/>
                <w:i/>
                <w:sz w:val="22"/>
              </w:rPr>
              <w:t>Agree</w:t>
            </w:r>
            <w:r w:rsidR="0087223B" w:rsidRPr="0087223B">
              <w:rPr>
                <w:rFonts w:cs="Arial"/>
                <w:b/>
                <w:i/>
                <w:sz w:val="22"/>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23B" w:rsidRPr="0087223B" w:rsidRDefault="0087223B" w:rsidP="0087223B">
            <w:pPr>
              <w:rPr>
                <w:rFonts w:cs="Arial"/>
                <w:b/>
                <w:i/>
                <w:sz w:val="22"/>
              </w:rPr>
            </w:pPr>
            <w:r w:rsidRPr="0087223B">
              <w:rPr>
                <w:rFonts w:cs="Arial"/>
                <w:b/>
                <w:i/>
                <w:sz w:val="22"/>
              </w:rPr>
              <w:t>Comment</w:t>
            </w:r>
          </w:p>
        </w:tc>
      </w:tr>
      <w:tr w:rsidR="0087223B" w:rsidRPr="0087223B" w:rsidTr="006766A4">
        <w:trPr>
          <w:trHeight w:val="305"/>
        </w:trPr>
        <w:tc>
          <w:tcPr>
            <w:tcW w:w="6629" w:type="dxa"/>
            <w:tcBorders>
              <w:top w:val="single" w:sz="4" w:space="0" w:color="auto"/>
              <w:left w:val="single" w:sz="4" w:space="0" w:color="auto"/>
              <w:bottom w:val="single" w:sz="4" w:space="0" w:color="auto"/>
              <w:right w:val="single" w:sz="4" w:space="0" w:color="auto"/>
            </w:tcBorders>
          </w:tcPr>
          <w:p w:rsidR="0087223B" w:rsidRPr="0087223B" w:rsidRDefault="0087223B" w:rsidP="0087223B">
            <w:pPr>
              <w:rPr>
                <w:rFonts w:cs="Arial"/>
                <w:sz w:val="22"/>
              </w:rPr>
            </w:pPr>
            <w:r w:rsidRPr="0087223B">
              <w:rPr>
                <w:rFonts w:cs="Arial"/>
                <w:sz w:val="22"/>
              </w:rPr>
              <w:t>1. That the City Council and Fusion Lifestyle resolve the issue of whether or not to capture the numbers of individual service users ( as far as practicably possible) as well as the numbers of visits, either by coming forward with a plan for doing so or by providing reasons why not.</w:t>
            </w:r>
          </w:p>
          <w:p w:rsidR="0087223B" w:rsidRPr="0087223B" w:rsidRDefault="0087223B" w:rsidP="0087223B">
            <w:pPr>
              <w:rPr>
                <w:rFonts w:cs="Arial"/>
                <w:sz w:val="22"/>
              </w:rPr>
            </w:pPr>
          </w:p>
        </w:tc>
        <w:tc>
          <w:tcPr>
            <w:tcW w:w="1134" w:type="dxa"/>
            <w:tcBorders>
              <w:top w:val="single" w:sz="4" w:space="0" w:color="auto"/>
              <w:left w:val="single" w:sz="4" w:space="0" w:color="auto"/>
              <w:bottom w:val="single" w:sz="4" w:space="0" w:color="auto"/>
              <w:right w:val="single" w:sz="4" w:space="0" w:color="auto"/>
            </w:tcBorders>
            <w:hideMark/>
          </w:tcPr>
          <w:p w:rsidR="008641BE" w:rsidRPr="0087223B" w:rsidRDefault="0087223B" w:rsidP="0087223B">
            <w:pPr>
              <w:rPr>
                <w:rFonts w:cs="Arial"/>
                <w:sz w:val="22"/>
              </w:rPr>
            </w:pPr>
            <w:r w:rsidRPr="0087223B">
              <w:rPr>
                <w:rFonts w:cs="Arial"/>
                <w:sz w:val="22"/>
              </w:rPr>
              <w:t>Y</w:t>
            </w:r>
          </w:p>
        </w:tc>
        <w:tc>
          <w:tcPr>
            <w:tcW w:w="6517" w:type="dxa"/>
            <w:tcBorders>
              <w:top w:val="single" w:sz="4" w:space="0" w:color="auto"/>
              <w:left w:val="single" w:sz="4" w:space="0" w:color="auto"/>
              <w:bottom w:val="single" w:sz="4" w:space="0" w:color="auto"/>
              <w:right w:val="single" w:sz="4" w:space="0" w:color="auto"/>
            </w:tcBorders>
            <w:hideMark/>
          </w:tcPr>
          <w:p w:rsidR="008641BE" w:rsidRPr="0087223B" w:rsidRDefault="0087223B" w:rsidP="000D08EA">
            <w:pPr>
              <w:rPr>
                <w:rFonts w:cs="Arial"/>
                <w:sz w:val="22"/>
              </w:rPr>
            </w:pPr>
            <w:r w:rsidRPr="0087223B">
              <w:rPr>
                <w:rFonts w:cs="Arial"/>
                <w:sz w:val="22"/>
              </w:rPr>
              <w:t xml:space="preserve">It is not possible to capture the number of individual service users as we have a large number of pay and play users and there are many users who we currently cannot identify. Work outlined in the plan to increase the take up of reward cards and convert more casual users into members will help us gather more information on users. The number of individual members and reward card holders will be reported in the performance data presented to Scrutiny </w:t>
            </w:r>
            <w:proofErr w:type="spellStart"/>
            <w:r w:rsidRPr="0087223B">
              <w:rPr>
                <w:rFonts w:cs="Arial"/>
                <w:sz w:val="22"/>
              </w:rPr>
              <w:t>Cttee</w:t>
            </w:r>
            <w:proofErr w:type="spellEnd"/>
            <w:r w:rsidRPr="0087223B">
              <w:rPr>
                <w:rFonts w:cs="Arial"/>
                <w:sz w:val="22"/>
              </w:rPr>
              <w:t>. </w:t>
            </w:r>
          </w:p>
        </w:tc>
      </w:tr>
      <w:tr w:rsidR="0087223B" w:rsidRPr="0087223B" w:rsidTr="006766A4">
        <w:trPr>
          <w:trHeight w:val="268"/>
        </w:trPr>
        <w:tc>
          <w:tcPr>
            <w:tcW w:w="6629" w:type="dxa"/>
            <w:tcBorders>
              <w:top w:val="single" w:sz="4" w:space="0" w:color="auto"/>
              <w:left w:val="single" w:sz="4" w:space="0" w:color="auto"/>
              <w:bottom w:val="single" w:sz="4" w:space="0" w:color="auto"/>
              <w:right w:val="single" w:sz="4" w:space="0" w:color="auto"/>
            </w:tcBorders>
          </w:tcPr>
          <w:p w:rsidR="0087223B" w:rsidRPr="0087223B" w:rsidRDefault="0087223B" w:rsidP="0087223B">
            <w:pPr>
              <w:rPr>
                <w:rFonts w:cs="Arial"/>
                <w:sz w:val="22"/>
              </w:rPr>
            </w:pPr>
            <w:r w:rsidRPr="0087223B">
              <w:rPr>
                <w:rFonts w:cs="Arial"/>
                <w:sz w:val="22"/>
              </w:rPr>
              <w:t>2. That the Service Plan includes a greater emphasis on improving disabled access to leisure centres.</w:t>
            </w:r>
          </w:p>
          <w:p w:rsidR="0087223B" w:rsidRPr="0087223B" w:rsidRDefault="0087223B" w:rsidP="0087223B">
            <w:pPr>
              <w:rPr>
                <w:rFonts w:cs="Arial"/>
                <w:sz w:val="22"/>
              </w:rPr>
            </w:pPr>
          </w:p>
        </w:tc>
        <w:tc>
          <w:tcPr>
            <w:tcW w:w="1134" w:type="dxa"/>
            <w:tcBorders>
              <w:top w:val="single" w:sz="4" w:space="0" w:color="auto"/>
              <w:left w:val="single" w:sz="4" w:space="0" w:color="auto"/>
              <w:bottom w:val="single" w:sz="4" w:space="0" w:color="auto"/>
              <w:right w:val="single" w:sz="4" w:space="0" w:color="auto"/>
            </w:tcBorders>
            <w:hideMark/>
          </w:tcPr>
          <w:p w:rsidR="008641BE" w:rsidRPr="0087223B" w:rsidRDefault="0087223B" w:rsidP="0087223B">
            <w:pPr>
              <w:rPr>
                <w:rFonts w:cs="Arial"/>
                <w:sz w:val="22"/>
              </w:rPr>
            </w:pPr>
            <w:r w:rsidRPr="0087223B">
              <w:rPr>
                <w:rFonts w:cs="Arial"/>
                <w:sz w:val="22"/>
              </w:rPr>
              <w:t>Y</w:t>
            </w:r>
          </w:p>
        </w:tc>
        <w:tc>
          <w:tcPr>
            <w:tcW w:w="6517" w:type="dxa"/>
            <w:tcBorders>
              <w:top w:val="single" w:sz="4" w:space="0" w:color="auto"/>
              <w:left w:val="single" w:sz="4" w:space="0" w:color="auto"/>
              <w:bottom w:val="single" w:sz="4" w:space="0" w:color="auto"/>
              <w:right w:val="single" w:sz="4" w:space="0" w:color="auto"/>
            </w:tcBorders>
            <w:hideMark/>
          </w:tcPr>
          <w:p w:rsidR="0087223B" w:rsidRPr="0087223B" w:rsidRDefault="0087223B" w:rsidP="0087223B">
            <w:pPr>
              <w:rPr>
                <w:rFonts w:cs="Arial"/>
                <w:sz w:val="22"/>
              </w:rPr>
            </w:pPr>
            <w:r w:rsidRPr="0087223B">
              <w:rPr>
                <w:rFonts w:cs="Arial"/>
                <w:sz w:val="22"/>
              </w:rPr>
              <w:t xml:space="preserve">Improvements such as the newly equipped disabled changing room at </w:t>
            </w:r>
            <w:proofErr w:type="spellStart"/>
            <w:r w:rsidRPr="0087223B">
              <w:rPr>
                <w:rFonts w:cs="Arial"/>
                <w:sz w:val="22"/>
              </w:rPr>
              <w:t>Hinksey</w:t>
            </w:r>
            <w:proofErr w:type="spellEnd"/>
            <w:r w:rsidRPr="0087223B">
              <w:rPr>
                <w:rFonts w:cs="Arial"/>
                <w:sz w:val="22"/>
              </w:rPr>
              <w:t xml:space="preserve"> Pool can be highlighted.</w:t>
            </w:r>
          </w:p>
          <w:p w:rsidR="008641BE" w:rsidRPr="0087223B" w:rsidRDefault="0087223B" w:rsidP="0087223B">
            <w:pPr>
              <w:rPr>
                <w:rFonts w:cs="Arial"/>
                <w:sz w:val="22"/>
              </w:rPr>
            </w:pPr>
            <w:r w:rsidRPr="0087223B">
              <w:rPr>
                <w:rFonts w:cs="Arial"/>
                <w:sz w:val="22"/>
              </w:rPr>
              <w:t> </w:t>
            </w:r>
          </w:p>
        </w:tc>
      </w:tr>
      <w:tr w:rsidR="0087223B" w:rsidRPr="0087223B" w:rsidTr="006766A4">
        <w:trPr>
          <w:trHeight w:val="268"/>
        </w:trPr>
        <w:tc>
          <w:tcPr>
            <w:tcW w:w="6629" w:type="dxa"/>
            <w:tcBorders>
              <w:top w:val="single" w:sz="4" w:space="0" w:color="auto"/>
              <w:left w:val="single" w:sz="4" w:space="0" w:color="auto"/>
              <w:bottom w:val="single" w:sz="4" w:space="0" w:color="auto"/>
              <w:right w:val="single" w:sz="4" w:space="0" w:color="auto"/>
            </w:tcBorders>
          </w:tcPr>
          <w:p w:rsidR="0087223B" w:rsidRPr="0087223B" w:rsidRDefault="0087223B" w:rsidP="0087223B">
            <w:pPr>
              <w:rPr>
                <w:rFonts w:cs="Arial"/>
                <w:sz w:val="22"/>
              </w:rPr>
            </w:pPr>
            <w:r w:rsidRPr="0087223B">
              <w:rPr>
                <w:rFonts w:cs="Arial"/>
                <w:sz w:val="22"/>
              </w:rPr>
              <w:t>3. That in future years Fusion Lifestyle’s annual service plans can be presented to the Scrutiny Committee for pre-decision scrutiny alongside performance data for the previous year.  This is likely to mean the service plans going to CEB for endorsement in June/July rather than May in future years.</w:t>
            </w:r>
          </w:p>
          <w:p w:rsidR="0087223B" w:rsidRPr="0087223B" w:rsidRDefault="0087223B" w:rsidP="0087223B">
            <w:pPr>
              <w:rPr>
                <w:rFonts w:cs="Arial"/>
                <w:sz w:val="22"/>
              </w:rPr>
            </w:pPr>
          </w:p>
        </w:tc>
        <w:tc>
          <w:tcPr>
            <w:tcW w:w="1134" w:type="dxa"/>
            <w:tcBorders>
              <w:top w:val="single" w:sz="4" w:space="0" w:color="auto"/>
              <w:left w:val="single" w:sz="4" w:space="0" w:color="auto"/>
              <w:bottom w:val="single" w:sz="4" w:space="0" w:color="auto"/>
              <w:right w:val="single" w:sz="4" w:space="0" w:color="auto"/>
            </w:tcBorders>
            <w:hideMark/>
          </w:tcPr>
          <w:p w:rsidR="008641BE" w:rsidRPr="0087223B" w:rsidRDefault="0087223B" w:rsidP="0087223B">
            <w:pPr>
              <w:rPr>
                <w:rFonts w:cs="Arial"/>
                <w:sz w:val="22"/>
              </w:rPr>
            </w:pPr>
            <w:r w:rsidRPr="0087223B">
              <w:rPr>
                <w:rFonts w:cs="Arial"/>
                <w:sz w:val="22"/>
              </w:rPr>
              <w:t>Y in part</w:t>
            </w:r>
          </w:p>
        </w:tc>
        <w:tc>
          <w:tcPr>
            <w:tcW w:w="6517" w:type="dxa"/>
            <w:tcBorders>
              <w:top w:val="single" w:sz="4" w:space="0" w:color="auto"/>
              <w:left w:val="single" w:sz="4" w:space="0" w:color="auto"/>
              <w:bottom w:val="single" w:sz="4" w:space="0" w:color="auto"/>
              <w:right w:val="single" w:sz="4" w:space="0" w:color="auto"/>
            </w:tcBorders>
          </w:tcPr>
          <w:p w:rsidR="0087223B" w:rsidRPr="0087223B" w:rsidRDefault="0087223B" w:rsidP="0087223B">
            <w:pPr>
              <w:rPr>
                <w:rFonts w:cs="Arial"/>
                <w:sz w:val="22"/>
              </w:rPr>
            </w:pPr>
            <w:r w:rsidRPr="0087223B">
              <w:rPr>
                <w:rFonts w:cs="Arial"/>
                <w:sz w:val="22"/>
              </w:rPr>
              <w:t xml:space="preserve">It is up to the scrutiny committee to agree </w:t>
            </w:r>
            <w:proofErr w:type="gramStart"/>
            <w:r w:rsidRPr="0087223B">
              <w:rPr>
                <w:rFonts w:cs="Arial"/>
                <w:sz w:val="22"/>
              </w:rPr>
              <w:t>it's</w:t>
            </w:r>
            <w:proofErr w:type="gramEnd"/>
            <w:r w:rsidRPr="0087223B">
              <w:rPr>
                <w:rFonts w:cs="Arial"/>
                <w:sz w:val="22"/>
              </w:rPr>
              <w:t xml:space="preserve"> work programme and schedule its own agendas. </w:t>
            </w:r>
            <w:r w:rsidRPr="0087223B">
              <w:rPr>
                <w:rFonts w:cs="Arial"/>
                <w:sz w:val="22"/>
              </w:rPr>
              <w:br/>
            </w:r>
          </w:p>
          <w:p w:rsidR="0087223B" w:rsidRPr="0087223B" w:rsidRDefault="0087223B" w:rsidP="0087223B">
            <w:pPr>
              <w:rPr>
                <w:rFonts w:cs="Arial"/>
                <w:sz w:val="22"/>
              </w:rPr>
            </w:pPr>
            <w:r w:rsidRPr="0087223B">
              <w:rPr>
                <w:rFonts w:cs="Arial"/>
                <w:sz w:val="22"/>
              </w:rPr>
              <w:t>The Annual Service Plan will continue to go to CEB in May.</w:t>
            </w:r>
          </w:p>
          <w:p w:rsidR="0087223B" w:rsidRPr="0087223B" w:rsidRDefault="0087223B" w:rsidP="0087223B">
            <w:pPr>
              <w:rPr>
                <w:rFonts w:cs="Arial"/>
                <w:sz w:val="22"/>
              </w:rPr>
            </w:pPr>
          </w:p>
          <w:p w:rsidR="0087223B" w:rsidRPr="0087223B" w:rsidRDefault="0087223B" w:rsidP="0087223B">
            <w:pPr>
              <w:rPr>
                <w:rFonts w:cs="Arial"/>
                <w:sz w:val="22"/>
              </w:rPr>
            </w:pPr>
            <w:r w:rsidRPr="0087223B">
              <w:rPr>
                <w:rFonts w:cs="Arial"/>
                <w:sz w:val="22"/>
              </w:rPr>
              <w:t>Scrutiny committee should decide which is more important; pre-scrutiny of the ASP or consideration of the ASP alongside the performance data.</w:t>
            </w:r>
          </w:p>
          <w:p w:rsidR="0087223B" w:rsidRPr="0087223B" w:rsidRDefault="0087223B" w:rsidP="0087223B">
            <w:pPr>
              <w:rPr>
                <w:rFonts w:cs="Arial"/>
                <w:sz w:val="22"/>
              </w:rPr>
            </w:pPr>
          </w:p>
          <w:p w:rsidR="008641BE" w:rsidRPr="0087223B" w:rsidRDefault="0087223B" w:rsidP="000D08EA">
            <w:pPr>
              <w:rPr>
                <w:rFonts w:cs="Arial"/>
                <w:sz w:val="22"/>
              </w:rPr>
            </w:pPr>
            <w:r w:rsidRPr="0087223B">
              <w:rPr>
                <w:rFonts w:cs="Arial"/>
                <w:sz w:val="22"/>
              </w:rPr>
              <w:t>If the scrutiny committee were to move to consideration of the ASP alongside the performance report, after the ASP has been agreed by CEB, its recommendations would still help to improve leisure services.</w:t>
            </w:r>
          </w:p>
        </w:tc>
      </w:tr>
    </w:tbl>
    <w:p w:rsidR="0087223B" w:rsidRDefault="0087223B" w:rsidP="00D07958">
      <w:pPr>
        <w:rPr>
          <w:rFonts w:cs="Arial"/>
          <w:b/>
          <w:sz w:val="22"/>
        </w:rPr>
      </w:pPr>
    </w:p>
    <w:p w:rsidR="0087223B" w:rsidRDefault="0087223B" w:rsidP="00D07958">
      <w:pPr>
        <w:rPr>
          <w:rFonts w:cs="Arial"/>
          <w:b/>
          <w:sz w:val="22"/>
        </w:rPr>
      </w:pPr>
    </w:p>
    <w:p w:rsidR="0087223B" w:rsidRPr="006766A4" w:rsidRDefault="0087223B" w:rsidP="00D07958">
      <w:pPr>
        <w:rPr>
          <w:rFonts w:cs="Arial"/>
          <w:b/>
        </w:rPr>
      </w:pPr>
      <w:r w:rsidRPr="006766A4">
        <w:rPr>
          <w:rFonts w:cs="Arial"/>
          <w:b/>
        </w:rPr>
        <w:t>The local impacts of Brexit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87223B" w:rsidRPr="006766A4" w:rsidTr="006766A4">
        <w:tc>
          <w:tcPr>
            <w:tcW w:w="6629" w:type="dxa"/>
            <w:shd w:val="clear" w:color="auto" w:fill="D9D9D9"/>
            <w:vAlign w:val="center"/>
          </w:tcPr>
          <w:p w:rsidR="0087223B" w:rsidRPr="006766A4" w:rsidRDefault="0087223B" w:rsidP="0087223B">
            <w:pPr>
              <w:rPr>
                <w:rFonts w:cs="Arial"/>
                <w:b/>
                <w:i/>
              </w:rPr>
            </w:pPr>
            <w:r w:rsidRPr="006766A4">
              <w:rPr>
                <w:rFonts w:cs="Arial"/>
                <w:b/>
                <w:i/>
              </w:rPr>
              <w:t>Recommendation</w:t>
            </w:r>
          </w:p>
        </w:tc>
        <w:tc>
          <w:tcPr>
            <w:tcW w:w="1134" w:type="dxa"/>
            <w:shd w:val="clear" w:color="auto" w:fill="D9D9D9"/>
            <w:vAlign w:val="center"/>
          </w:tcPr>
          <w:p w:rsidR="0087223B" w:rsidRPr="006766A4" w:rsidRDefault="0087223B" w:rsidP="0087223B">
            <w:pPr>
              <w:rPr>
                <w:rFonts w:cs="Arial"/>
                <w:b/>
                <w:i/>
              </w:rPr>
            </w:pPr>
            <w:r w:rsidRPr="006766A4">
              <w:rPr>
                <w:rFonts w:cs="Arial"/>
                <w:b/>
                <w:i/>
              </w:rPr>
              <w:t xml:space="preserve">Agree? </w:t>
            </w:r>
          </w:p>
        </w:tc>
        <w:tc>
          <w:tcPr>
            <w:tcW w:w="6520" w:type="dxa"/>
            <w:shd w:val="clear" w:color="auto" w:fill="D9D9D9"/>
            <w:vAlign w:val="center"/>
          </w:tcPr>
          <w:p w:rsidR="0087223B" w:rsidRPr="006766A4" w:rsidRDefault="0087223B" w:rsidP="0087223B">
            <w:pPr>
              <w:rPr>
                <w:rFonts w:cs="Arial"/>
                <w:b/>
                <w:i/>
              </w:rPr>
            </w:pPr>
            <w:r w:rsidRPr="006766A4">
              <w:rPr>
                <w:rFonts w:cs="Arial"/>
                <w:b/>
                <w:i/>
              </w:rPr>
              <w:t>Comment</w:t>
            </w:r>
          </w:p>
        </w:tc>
      </w:tr>
      <w:tr w:rsidR="0087223B" w:rsidRPr="0087223B" w:rsidTr="006766A4">
        <w:trPr>
          <w:trHeight w:val="305"/>
        </w:trPr>
        <w:tc>
          <w:tcPr>
            <w:tcW w:w="6629" w:type="dxa"/>
            <w:shd w:val="clear" w:color="auto" w:fill="auto"/>
          </w:tcPr>
          <w:p w:rsidR="0087223B" w:rsidRPr="0087223B" w:rsidRDefault="0087223B" w:rsidP="0087223B">
            <w:pPr>
              <w:rPr>
                <w:rFonts w:cs="Arial"/>
                <w:sz w:val="22"/>
              </w:rPr>
            </w:pPr>
            <w:r w:rsidRPr="0087223B">
              <w:rPr>
                <w:rFonts w:cs="Arial"/>
                <w:sz w:val="22"/>
              </w:rPr>
              <w:t>That the Council, perhaps through the LEP, considers whether there is a need for a mechanism for local businesses to express concerns at an early stage about the expected impacts of Brexit on their businesses and jobs in the local economy.</w:t>
            </w:r>
          </w:p>
          <w:p w:rsidR="0087223B" w:rsidRPr="0087223B" w:rsidRDefault="0087223B" w:rsidP="0087223B">
            <w:pPr>
              <w:rPr>
                <w:rFonts w:cs="Arial"/>
                <w:sz w:val="22"/>
              </w:rPr>
            </w:pPr>
          </w:p>
        </w:tc>
        <w:tc>
          <w:tcPr>
            <w:tcW w:w="1134" w:type="dxa"/>
            <w:shd w:val="clear" w:color="auto" w:fill="auto"/>
          </w:tcPr>
          <w:p w:rsidR="0087223B" w:rsidRPr="0087223B" w:rsidRDefault="0087223B" w:rsidP="0087223B">
            <w:pPr>
              <w:rPr>
                <w:rFonts w:cs="Arial"/>
                <w:sz w:val="22"/>
              </w:rPr>
            </w:pPr>
            <w:r w:rsidRPr="0087223B">
              <w:rPr>
                <w:rFonts w:cs="Arial"/>
                <w:sz w:val="22"/>
              </w:rPr>
              <w:t>Y</w:t>
            </w:r>
          </w:p>
        </w:tc>
        <w:tc>
          <w:tcPr>
            <w:tcW w:w="6520" w:type="dxa"/>
            <w:shd w:val="clear" w:color="auto" w:fill="auto"/>
          </w:tcPr>
          <w:p w:rsidR="0087223B" w:rsidRPr="0087223B" w:rsidRDefault="0087223B" w:rsidP="0087223B">
            <w:pPr>
              <w:rPr>
                <w:rFonts w:cs="Arial"/>
                <w:sz w:val="22"/>
              </w:rPr>
            </w:pPr>
            <w:r w:rsidRPr="0087223B">
              <w:rPr>
                <w:rFonts w:cs="Arial"/>
                <w:sz w:val="22"/>
              </w:rPr>
              <w:t xml:space="preserve">The City Council is in regular contact with Oxford businesses, as </w:t>
            </w:r>
            <w:proofErr w:type="gramStart"/>
            <w:r w:rsidRPr="0087223B">
              <w:rPr>
                <w:rFonts w:cs="Arial"/>
                <w:sz w:val="22"/>
              </w:rPr>
              <w:t>is</w:t>
            </w:r>
            <w:proofErr w:type="gramEnd"/>
            <w:r w:rsidRPr="0087223B">
              <w:rPr>
                <w:rFonts w:cs="Arial"/>
                <w:sz w:val="22"/>
              </w:rPr>
              <w:t xml:space="preserve"> the LEP, and the potential impacts of the U.K. leaving the single market and customs union have been widely discussed. The Council and the LEP have flagged their concerns in their responses to the Industrial Strategy Green Paper and will continue to monitor and report to BEIS on the potential consequences of Brexit. The Council has also responded to the Local Government Association who </w:t>
            </w:r>
            <w:proofErr w:type="gramStart"/>
            <w:r w:rsidRPr="0087223B">
              <w:rPr>
                <w:rFonts w:cs="Arial"/>
                <w:sz w:val="22"/>
              </w:rPr>
              <w:t>are</w:t>
            </w:r>
            <w:proofErr w:type="gramEnd"/>
            <w:r w:rsidRPr="0087223B">
              <w:rPr>
                <w:rFonts w:cs="Arial"/>
                <w:sz w:val="22"/>
              </w:rPr>
              <w:t xml:space="preserve"> liaising with Government on this matter. </w:t>
            </w:r>
          </w:p>
          <w:p w:rsidR="0087223B" w:rsidRPr="0087223B" w:rsidRDefault="0087223B" w:rsidP="0087223B">
            <w:pPr>
              <w:rPr>
                <w:rFonts w:cs="Arial"/>
                <w:sz w:val="22"/>
              </w:rPr>
            </w:pPr>
          </w:p>
          <w:p w:rsidR="0087223B" w:rsidRPr="0087223B" w:rsidRDefault="0087223B" w:rsidP="0087223B">
            <w:pPr>
              <w:rPr>
                <w:rFonts w:cs="Arial"/>
                <w:sz w:val="22"/>
              </w:rPr>
            </w:pPr>
            <w:r w:rsidRPr="0087223B">
              <w:rPr>
                <w:rFonts w:cs="Arial"/>
                <w:sz w:val="22"/>
              </w:rPr>
              <w:t xml:space="preserve">Going forward, the mechanism for local business to express their concerns is our existing programme of business engagement that delivers against our Business Engagement Framework. We make contact with the largest employers on an annual basis at a minimum (working with the LEP’s Inward Investment and Network Navigator services) to meet with them and understand their plans, issues and support them where required with investment decisions, information and contacts. The impacts of Brexit will continue to form part of those discussions as they become clearer. </w:t>
            </w:r>
          </w:p>
          <w:p w:rsidR="0087223B" w:rsidRPr="0087223B" w:rsidRDefault="0087223B" w:rsidP="0087223B">
            <w:pPr>
              <w:rPr>
                <w:rFonts w:cs="Arial"/>
                <w:sz w:val="22"/>
              </w:rPr>
            </w:pPr>
            <w:r w:rsidRPr="0087223B">
              <w:rPr>
                <w:rFonts w:cs="Arial"/>
                <w:sz w:val="22"/>
              </w:rPr>
              <w:t xml:space="preserve"> </w:t>
            </w:r>
          </w:p>
          <w:p w:rsidR="0087223B" w:rsidRPr="0087223B" w:rsidRDefault="0087223B" w:rsidP="0087223B">
            <w:pPr>
              <w:rPr>
                <w:rFonts w:cs="Arial"/>
                <w:sz w:val="22"/>
              </w:rPr>
            </w:pPr>
            <w:r w:rsidRPr="0087223B">
              <w:rPr>
                <w:rFonts w:cs="Arial"/>
                <w:sz w:val="22"/>
              </w:rPr>
              <w:t>We can also engage the views of a wider business base, by using our links to business and sector networks that operate locally to gain a collective view of the impact on their members, particularly smaller businesses.  The impact of exiting the EU will also be referred to the Oxford Strategic Partnership’s Economic Growth Steering group to report on. Where more evidence is uncovered on the likely impact, it will be shared with colleagues, members and the key Government departments as appropriate.</w:t>
            </w:r>
          </w:p>
        </w:tc>
      </w:tr>
    </w:tbl>
    <w:p w:rsidR="0087223B" w:rsidRDefault="0087223B" w:rsidP="00D07958">
      <w:pPr>
        <w:rPr>
          <w:rFonts w:cs="Arial"/>
          <w:b/>
          <w:sz w:val="22"/>
        </w:rPr>
      </w:pPr>
    </w:p>
    <w:p w:rsidR="0087223B" w:rsidRDefault="0087223B" w:rsidP="00D07958">
      <w:pPr>
        <w:rPr>
          <w:rFonts w:cs="Arial"/>
          <w:b/>
          <w:sz w:val="22"/>
        </w:rPr>
      </w:pPr>
    </w:p>
    <w:p w:rsidR="0087223B" w:rsidRPr="006766A4" w:rsidRDefault="0087223B" w:rsidP="00D07958">
      <w:pPr>
        <w:rPr>
          <w:rFonts w:cs="Arial"/>
          <w:b/>
        </w:rPr>
      </w:pPr>
      <w:r w:rsidRPr="006766A4">
        <w:rPr>
          <w:rFonts w:cs="Arial"/>
          <w:b/>
        </w:rPr>
        <w:t>The Council’s use of PSPO powers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87223B" w:rsidRPr="006766A4" w:rsidTr="006766A4">
        <w:tc>
          <w:tcPr>
            <w:tcW w:w="6629" w:type="dxa"/>
            <w:shd w:val="clear" w:color="auto" w:fill="D9D9D9"/>
            <w:vAlign w:val="center"/>
          </w:tcPr>
          <w:p w:rsidR="0087223B" w:rsidRPr="006766A4" w:rsidRDefault="0087223B" w:rsidP="0087223B">
            <w:pPr>
              <w:rPr>
                <w:rFonts w:cs="Arial"/>
                <w:b/>
                <w:i/>
              </w:rPr>
            </w:pPr>
            <w:r w:rsidRPr="006766A4">
              <w:rPr>
                <w:rFonts w:cs="Arial"/>
                <w:b/>
                <w:i/>
              </w:rPr>
              <w:t>Recommendation</w:t>
            </w:r>
          </w:p>
        </w:tc>
        <w:tc>
          <w:tcPr>
            <w:tcW w:w="1134" w:type="dxa"/>
            <w:shd w:val="clear" w:color="auto" w:fill="D9D9D9"/>
            <w:vAlign w:val="center"/>
          </w:tcPr>
          <w:p w:rsidR="0087223B" w:rsidRPr="006766A4" w:rsidRDefault="006766A4" w:rsidP="0087223B">
            <w:pPr>
              <w:rPr>
                <w:rFonts w:cs="Arial"/>
                <w:b/>
                <w:i/>
              </w:rPr>
            </w:pPr>
            <w:r w:rsidRPr="006766A4">
              <w:rPr>
                <w:rFonts w:cs="Arial"/>
                <w:b/>
                <w:i/>
              </w:rPr>
              <w:t>Agree</w:t>
            </w:r>
            <w:r w:rsidR="0087223B" w:rsidRPr="006766A4">
              <w:rPr>
                <w:rFonts w:cs="Arial"/>
                <w:b/>
                <w:i/>
              </w:rPr>
              <w:t xml:space="preserve">? </w:t>
            </w:r>
          </w:p>
        </w:tc>
        <w:tc>
          <w:tcPr>
            <w:tcW w:w="6520" w:type="dxa"/>
            <w:shd w:val="clear" w:color="auto" w:fill="D9D9D9"/>
            <w:vAlign w:val="center"/>
          </w:tcPr>
          <w:p w:rsidR="0087223B" w:rsidRPr="006766A4" w:rsidRDefault="0087223B" w:rsidP="0087223B">
            <w:pPr>
              <w:rPr>
                <w:rFonts w:cs="Arial"/>
                <w:b/>
                <w:i/>
              </w:rPr>
            </w:pPr>
            <w:r w:rsidRPr="006766A4">
              <w:rPr>
                <w:rFonts w:cs="Arial"/>
                <w:b/>
                <w:i/>
              </w:rPr>
              <w:t>Comment</w:t>
            </w:r>
          </w:p>
        </w:tc>
      </w:tr>
      <w:tr w:rsidR="0087223B" w:rsidRPr="0087223B" w:rsidTr="006766A4">
        <w:trPr>
          <w:trHeight w:val="305"/>
        </w:trPr>
        <w:tc>
          <w:tcPr>
            <w:tcW w:w="6629" w:type="dxa"/>
            <w:shd w:val="clear" w:color="auto" w:fill="auto"/>
          </w:tcPr>
          <w:p w:rsidR="0087223B" w:rsidRPr="0087223B" w:rsidRDefault="0087223B" w:rsidP="0087223B">
            <w:pPr>
              <w:rPr>
                <w:rFonts w:cs="Arial"/>
                <w:sz w:val="22"/>
              </w:rPr>
            </w:pPr>
            <w:r w:rsidRPr="0087223B">
              <w:rPr>
                <w:rFonts w:cs="Arial"/>
                <w:sz w:val="22"/>
              </w:rPr>
              <w:lastRenderedPageBreak/>
              <w:t>1. That the City Council takes more targeted enforcement actions aimed at addressing breaches of cycling restrictions in Queen Street and Cornmarket Street, together with more proactive messaging to key groups such as students.</w:t>
            </w:r>
          </w:p>
          <w:p w:rsidR="0087223B" w:rsidRPr="0087223B" w:rsidRDefault="0087223B" w:rsidP="0087223B">
            <w:pPr>
              <w:rPr>
                <w:rFonts w:cs="Arial"/>
                <w:sz w:val="22"/>
              </w:rPr>
            </w:pPr>
          </w:p>
        </w:tc>
        <w:tc>
          <w:tcPr>
            <w:tcW w:w="1134" w:type="dxa"/>
            <w:shd w:val="clear" w:color="auto" w:fill="auto"/>
          </w:tcPr>
          <w:p w:rsidR="0087223B" w:rsidRPr="0087223B" w:rsidRDefault="0087223B" w:rsidP="0087223B">
            <w:pPr>
              <w:rPr>
                <w:rFonts w:cs="Arial"/>
                <w:sz w:val="22"/>
              </w:rPr>
            </w:pPr>
            <w:r w:rsidRPr="0087223B">
              <w:rPr>
                <w:rFonts w:cs="Arial"/>
                <w:sz w:val="22"/>
              </w:rPr>
              <w:t>Y</w:t>
            </w:r>
          </w:p>
        </w:tc>
        <w:tc>
          <w:tcPr>
            <w:tcW w:w="6520" w:type="dxa"/>
            <w:shd w:val="clear" w:color="auto" w:fill="auto"/>
          </w:tcPr>
          <w:p w:rsidR="000D08EA" w:rsidRPr="0087223B" w:rsidRDefault="0087223B" w:rsidP="000D08EA">
            <w:pPr>
              <w:rPr>
                <w:rFonts w:cs="Arial"/>
                <w:sz w:val="22"/>
              </w:rPr>
            </w:pPr>
            <w:r w:rsidRPr="0087223B">
              <w:rPr>
                <w:rFonts w:cs="Arial"/>
                <w:sz w:val="22"/>
              </w:rPr>
              <w:t>The management of cycling restrictions that exist in Queen St and Cornmarket is the duty of Oxfordshire County Council.  The City Council will run operations to tackle breaches of the PSPO that reflects the County Council’s restrictions, but would like more active assistance from County Council officers.</w:t>
            </w:r>
          </w:p>
        </w:tc>
      </w:tr>
      <w:tr w:rsidR="0087223B" w:rsidRPr="0087223B" w:rsidTr="006766A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87223B" w:rsidRPr="0087223B" w:rsidRDefault="0087223B" w:rsidP="0087223B">
            <w:pPr>
              <w:rPr>
                <w:rFonts w:cs="Arial"/>
                <w:sz w:val="22"/>
              </w:rPr>
            </w:pPr>
            <w:r w:rsidRPr="0087223B">
              <w:rPr>
                <w:rFonts w:cs="Arial"/>
                <w:sz w:val="22"/>
              </w:rPr>
              <w:t>2. That the City Council requests that Oxfordshire County Council does what it can to improve cycling signage on Cornmarket and Queen Street.</w:t>
            </w:r>
          </w:p>
          <w:p w:rsidR="0087223B" w:rsidRPr="0087223B" w:rsidRDefault="0087223B" w:rsidP="0087223B">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23B" w:rsidRPr="0087223B" w:rsidRDefault="0087223B" w:rsidP="0087223B">
            <w:pPr>
              <w:rPr>
                <w:rFonts w:cs="Arial"/>
                <w:sz w:val="22"/>
              </w:rPr>
            </w:pPr>
            <w:r w:rsidRPr="0087223B">
              <w:rPr>
                <w:rFonts w:cs="Arial"/>
                <w:sz w:val="22"/>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7223B" w:rsidRPr="0087223B" w:rsidRDefault="0087223B" w:rsidP="0087223B">
            <w:pPr>
              <w:rPr>
                <w:rFonts w:cs="Arial"/>
                <w:sz w:val="22"/>
              </w:rPr>
            </w:pPr>
          </w:p>
        </w:tc>
      </w:tr>
    </w:tbl>
    <w:p w:rsidR="00D07958" w:rsidRPr="00FA7C29" w:rsidRDefault="00D07958" w:rsidP="001A3381">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13"/>
  </w:num>
  <w:num w:numId="7">
    <w:abstractNumId w:val="0"/>
  </w:num>
  <w:num w:numId="8">
    <w:abstractNumId w:val="9"/>
  </w:num>
  <w:num w:numId="9">
    <w:abstractNumId w:val="7"/>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0D08EA"/>
    <w:rsid w:val="00102AB9"/>
    <w:rsid w:val="0011346E"/>
    <w:rsid w:val="001A3381"/>
    <w:rsid w:val="001C08EF"/>
    <w:rsid w:val="001F03AC"/>
    <w:rsid w:val="00212E63"/>
    <w:rsid w:val="00220AF4"/>
    <w:rsid w:val="00290F45"/>
    <w:rsid w:val="002C31B0"/>
    <w:rsid w:val="003236B3"/>
    <w:rsid w:val="0033084B"/>
    <w:rsid w:val="0034054D"/>
    <w:rsid w:val="0035129D"/>
    <w:rsid w:val="003608DF"/>
    <w:rsid w:val="003E1445"/>
    <w:rsid w:val="004000D7"/>
    <w:rsid w:val="004169C5"/>
    <w:rsid w:val="00423264"/>
    <w:rsid w:val="00426707"/>
    <w:rsid w:val="00475EF0"/>
    <w:rsid w:val="004D5C3D"/>
    <w:rsid w:val="00504E43"/>
    <w:rsid w:val="005C4344"/>
    <w:rsid w:val="00612FE5"/>
    <w:rsid w:val="0066079B"/>
    <w:rsid w:val="006766A4"/>
    <w:rsid w:val="00735421"/>
    <w:rsid w:val="0075339C"/>
    <w:rsid w:val="00770820"/>
    <w:rsid w:val="0077287C"/>
    <w:rsid w:val="007908F4"/>
    <w:rsid w:val="0081179F"/>
    <w:rsid w:val="00835092"/>
    <w:rsid w:val="008641BE"/>
    <w:rsid w:val="0087223B"/>
    <w:rsid w:val="00896B8B"/>
    <w:rsid w:val="008A22C6"/>
    <w:rsid w:val="008E4BCD"/>
    <w:rsid w:val="009318D7"/>
    <w:rsid w:val="009354C7"/>
    <w:rsid w:val="00A4263F"/>
    <w:rsid w:val="00AD57AD"/>
    <w:rsid w:val="00B02ADE"/>
    <w:rsid w:val="00B0515E"/>
    <w:rsid w:val="00B7537D"/>
    <w:rsid w:val="00BF6979"/>
    <w:rsid w:val="00C07F80"/>
    <w:rsid w:val="00C32C6A"/>
    <w:rsid w:val="00C5256F"/>
    <w:rsid w:val="00D07958"/>
    <w:rsid w:val="00DC3603"/>
    <w:rsid w:val="00DC685F"/>
    <w:rsid w:val="00DE0A7D"/>
    <w:rsid w:val="00DE75D6"/>
    <w:rsid w:val="00E234D4"/>
    <w:rsid w:val="00EB3BF9"/>
    <w:rsid w:val="00EB40D4"/>
    <w:rsid w:val="00ED7F43"/>
    <w:rsid w:val="00F02F38"/>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D127-05E3-43B4-8208-EC9C2682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2017-06-19T11:12:00Z</dcterms:created>
  <dcterms:modified xsi:type="dcterms:W3CDTF">2017-06-19T11:19:00Z</dcterms:modified>
</cp:coreProperties>
</file>